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7AEB" w14:textId="77777777" w:rsidR="006559C8" w:rsidRDefault="006559C8" w:rsidP="006559C8">
      <w:pPr>
        <w:pStyle w:val="30"/>
        <w:shd w:val="clear" w:color="auto" w:fill="auto"/>
        <w:spacing w:before="0"/>
        <w:ind w:right="240"/>
      </w:pPr>
      <w:r>
        <w:t>ТЕХНИЧЕСКАЯ СПЕЦИФИКАЦИЯ</w:t>
      </w:r>
    </w:p>
    <w:p w14:paraId="422064DC" w14:textId="77777777" w:rsidR="006559C8" w:rsidRPr="00844B63" w:rsidRDefault="006559C8" w:rsidP="006559C8">
      <w:pPr>
        <w:pStyle w:val="20"/>
        <w:shd w:val="clear" w:color="auto" w:fill="auto"/>
        <w:spacing w:before="240" w:after="0" w:line="266" w:lineRule="exact"/>
        <w:ind w:firstLine="760"/>
        <w:jc w:val="both"/>
      </w:pPr>
      <w:r w:rsidRPr="00844B63">
        <w:rPr>
          <w:b/>
          <w:bCs/>
        </w:rPr>
        <w:t>закупаемых услуг:</w:t>
      </w:r>
      <w:r w:rsidRPr="00844B63">
        <w:t xml:space="preserve"> Доступ к информационным сайтам </w:t>
      </w:r>
      <w:r>
        <w:t>(</w:t>
      </w:r>
      <w:r w:rsidRPr="00844B63">
        <w:t>Доступ к электронной системе нормативных правовых актов в форме электронного документа</w:t>
      </w:r>
      <w:r>
        <w:t>)</w:t>
      </w:r>
    </w:p>
    <w:p w14:paraId="6FCA1D71" w14:textId="77777777" w:rsidR="006559C8" w:rsidRDefault="006559C8" w:rsidP="006559C8">
      <w:pPr>
        <w:pStyle w:val="20"/>
        <w:shd w:val="clear" w:color="auto" w:fill="auto"/>
        <w:spacing w:after="0" w:line="266" w:lineRule="exact"/>
        <w:ind w:firstLine="760"/>
        <w:jc w:val="both"/>
      </w:pPr>
      <w:r w:rsidRPr="00844B63">
        <w:rPr>
          <w:b/>
          <w:bCs/>
        </w:rPr>
        <w:t>Заказчик:</w:t>
      </w:r>
      <w:r>
        <w:t xml:space="preserve"> НАО «Международный центр зеленых технологий и инвестиционных проектов».</w:t>
      </w:r>
    </w:p>
    <w:p w14:paraId="37D869DE" w14:textId="11110CFE" w:rsidR="006559C8" w:rsidRDefault="006559C8" w:rsidP="006559C8">
      <w:pPr>
        <w:pStyle w:val="20"/>
        <w:shd w:val="clear" w:color="auto" w:fill="auto"/>
        <w:spacing w:after="0" w:line="266" w:lineRule="exact"/>
        <w:ind w:firstLine="760"/>
        <w:jc w:val="both"/>
      </w:pPr>
      <w:r w:rsidRPr="00844B63">
        <w:rPr>
          <w:b/>
          <w:bCs/>
        </w:rPr>
        <w:t>Место оказании услуг:</w:t>
      </w:r>
      <w:r>
        <w:t xml:space="preserve"> г. Нур-Султан, </w:t>
      </w:r>
    </w:p>
    <w:p w14:paraId="04624032" w14:textId="77777777" w:rsidR="006559C8" w:rsidRDefault="006559C8" w:rsidP="006559C8">
      <w:pPr>
        <w:pStyle w:val="20"/>
        <w:shd w:val="clear" w:color="auto" w:fill="auto"/>
        <w:spacing w:after="240" w:line="266" w:lineRule="exact"/>
        <w:ind w:firstLine="760"/>
        <w:jc w:val="both"/>
      </w:pPr>
      <w:r w:rsidRPr="00844B63">
        <w:rPr>
          <w:b/>
          <w:bCs/>
        </w:rPr>
        <w:t>Срок оказании услуг:</w:t>
      </w:r>
      <w:r>
        <w:t xml:space="preserve"> 1 год с момента подписания договора.</w:t>
      </w:r>
    </w:p>
    <w:p w14:paraId="484569C6" w14:textId="77777777" w:rsidR="006559C8" w:rsidRDefault="006559C8" w:rsidP="006559C8">
      <w:pPr>
        <w:pStyle w:val="20"/>
        <w:shd w:val="clear" w:color="auto" w:fill="auto"/>
        <w:spacing w:after="240" w:line="266" w:lineRule="exact"/>
        <w:ind w:firstLine="760"/>
        <w:jc w:val="both"/>
      </w:pPr>
      <w:r>
        <w:t>Закупаемые услуги д</w:t>
      </w:r>
      <w:r w:rsidRPr="00844B63">
        <w:t xml:space="preserve">оступ к информационным сайтам </w:t>
      </w:r>
      <w:r>
        <w:t>(д</w:t>
      </w:r>
      <w:r w:rsidRPr="00844B63">
        <w:t>оступ к электронной системе нормативных правовых актов в форме электронного документа</w:t>
      </w:r>
      <w:r>
        <w:t>).</w:t>
      </w:r>
    </w:p>
    <w:p w14:paraId="29F79FD5" w14:textId="77777777" w:rsidR="006559C8" w:rsidRPr="00F163E7" w:rsidRDefault="006559C8" w:rsidP="006559C8">
      <w:pPr>
        <w:pStyle w:val="20"/>
        <w:numPr>
          <w:ilvl w:val="0"/>
          <w:numId w:val="1"/>
        </w:numPr>
        <w:shd w:val="clear" w:color="auto" w:fill="auto"/>
        <w:tabs>
          <w:tab w:val="left" w:pos="4772"/>
        </w:tabs>
        <w:spacing w:after="158" w:line="220" w:lineRule="exact"/>
        <w:jc w:val="both"/>
        <w:rPr>
          <w:b/>
          <w:bCs/>
        </w:rPr>
      </w:pPr>
      <w:r w:rsidRPr="00F163E7">
        <w:rPr>
          <w:b/>
          <w:bCs/>
        </w:rPr>
        <w:t>Описание Услуг</w:t>
      </w:r>
    </w:p>
    <w:p w14:paraId="1BBB6C1F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>В предоставляемом доступе к информационным сайтам документы должны исчерпывающим образом представлять правовое регулирование всех сфер экономики, в том числе узкоотраслевых и узковедомственных.</w:t>
      </w:r>
    </w:p>
    <w:p w14:paraId="002FAE84" w14:textId="77777777" w:rsidR="006559C8" w:rsidRPr="009B1AC9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  <w:rPr>
          <w:b/>
          <w:bCs/>
        </w:rPr>
      </w:pPr>
    </w:p>
    <w:p w14:paraId="4046BBD8" w14:textId="77777777" w:rsidR="006559C8" w:rsidRPr="009B1AC9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  <w:rPr>
          <w:b/>
          <w:bCs/>
        </w:rPr>
      </w:pPr>
      <w:r w:rsidRPr="009B1AC9">
        <w:rPr>
          <w:b/>
          <w:bCs/>
        </w:rPr>
        <w:t>Закупаемые услуги должны включать предоставление информации по следующим блокам:</w:t>
      </w:r>
    </w:p>
    <w:p w14:paraId="74A128A8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 w:rsidRPr="009B1AC9">
        <w:rPr>
          <w:smallCaps/>
        </w:rPr>
        <w:t xml:space="preserve">1. </w:t>
      </w:r>
      <w:r w:rsidRPr="009B1AC9">
        <w:t>Услуги должны охватывать все отрасли права</w:t>
      </w:r>
      <w:r>
        <w:t xml:space="preserve"> и включать все юридически взаимосвязанные документы соответствующего уровня:</w:t>
      </w:r>
    </w:p>
    <w:p w14:paraId="65A19F6D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 xml:space="preserve">указы Президента, имеющие силу конституционного закона; указы Президента, имеющие силу закона; иные </w:t>
      </w:r>
    </w:p>
    <w:p w14:paraId="046E161B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>нормативные правовые указы Президента, нормативные постановления Парламента и его палат;</w:t>
      </w:r>
    </w:p>
    <w:p w14:paraId="0E52C6CE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>нормативные постановления Конституционного совета, Верховного суда и Центральной избирательной комиссии, акты Генеральной прокуратуры;</w:t>
      </w:r>
    </w:p>
    <w:p w14:paraId="18A17AC5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 xml:space="preserve">нормативные постановления Правительства и Распоряжения Премьер-министра; </w:t>
      </w:r>
    </w:p>
    <w:p w14:paraId="05EF984F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>нормативные правовые и правовые акты министерств, агентств, их ведомств и иных центральных государственных органов:</w:t>
      </w:r>
    </w:p>
    <w:p w14:paraId="53B2BFC7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>акты государственных органов разъяснительного и информационного характера, помогающие в правоприменительной практике при реализации содержащихся в законодательстве правовых норм, в том числе при их применении в случае обнаружения неясностей и различного понимания нормативных правовых актов (письма, методические указания, рекомендации, обобщения и пр.);</w:t>
      </w:r>
    </w:p>
    <w:p w14:paraId="0B740E29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>основы регионального законодательства (нормативные правовые решения маслихатов, акиматов);</w:t>
      </w:r>
    </w:p>
    <w:p w14:paraId="7E4FFEB3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 xml:space="preserve">ратифицированные и утвержденные постановлениями Правительства, а также актами центральных и местных органов государственной власти международные соглашения; </w:t>
      </w:r>
    </w:p>
    <w:p w14:paraId="5DEB27FD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>формы правовых документов, утвержденные государственными органами;</w:t>
      </w:r>
    </w:p>
    <w:p w14:paraId="216A04A1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 xml:space="preserve"> налоговый, производственный календарь.</w:t>
      </w:r>
    </w:p>
    <w:p w14:paraId="7B4067A8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 xml:space="preserve">2. </w:t>
      </w:r>
      <w:r w:rsidRPr="009B1AC9">
        <w:t>Услуги должны обеспечивать доступ к международному законодательству</w:t>
      </w:r>
      <w:r>
        <w:t>, правовым актам, регламентирующим взаимоотношения Казахстана с зарубежными странами, международные договоры РК и документы об их ратификации и статусе:</w:t>
      </w:r>
    </w:p>
    <w:p w14:paraId="70D589B2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 xml:space="preserve">Международные договоры, документы международных организаций, с информацией о вступлении документов в силу и прекращении их действия, международно-правовые акты, в которых РК в настоящее время не принимает участия, а также не имеющее аналогов в РК собрание документов, регламентирующих деятельность СНГ, Таможенного союза, ЕАЭС, ШОС, </w:t>
      </w:r>
      <w:proofErr w:type="spellStart"/>
      <w:r>
        <w:t>ЕвразЭС</w:t>
      </w:r>
      <w:proofErr w:type="spellEnd"/>
      <w:r>
        <w:t>, ЕЭП, Европейского союза, отдельные нормативные акты иностранных государств.</w:t>
      </w:r>
    </w:p>
    <w:p w14:paraId="4B1060A2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 xml:space="preserve">3. </w:t>
      </w:r>
      <w:r w:rsidRPr="009B1AC9">
        <w:t>Услуги должны содержать информацию по судебной практике</w:t>
      </w:r>
      <w:r w:rsidRPr="00310B03">
        <w:t>, включающей:</w:t>
      </w:r>
      <w:r>
        <w:t xml:space="preserve">   </w:t>
      </w:r>
    </w:p>
    <w:p w14:paraId="4E580124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 xml:space="preserve"> решения различных судебных инстанций; </w:t>
      </w:r>
    </w:p>
    <w:p w14:paraId="21309733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 w:rsidRPr="009B1AC9">
        <w:t>обобщ</w:t>
      </w:r>
      <w:r w:rsidRPr="002E0BE1">
        <w:t>е</w:t>
      </w:r>
      <w:r>
        <w:t>ния судебной практики;</w:t>
      </w:r>
    </w:p>
    <w:p w14:paraId="60254030" w14:textId="77777777" w:rsidR="006559C8" w:rsidRPr="00484CA3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 w:rsidRPr="00484CA3">
        <w:lastRenderedPageBreak/>
        <w:t>возможность поиска дела - по суду, дате, типа дела, его номеру, сторонам и судье с указанием информации о процессуальных действиях по делу.</w:t>
      </w:r>
    </w:p>
    <w:p w14:paraId="101C6847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>Также должна быть возможность поиска по контексту (с использованием определенных слов в тексте судебных документов).</w:t>
      </w:r>
    </w:p>
    <w:p w14:paraId="2CD9226B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 w:rsidRPr="009B1AC9">
        <w:rPr>
          <w:smallCaps/>
        </w:rPr>
        <w:t>4</w:t>
      </w:r>
      <w:r>
        <w:rPr>
          <w:smallCaps/>
        </w:rPr>
        <w:t xml:space="preserve">. </w:t>
      </w:r>
      <w:r w:rsidRPr="009B1AC9">
        <w:rPr>
          <w:smallCaps/>
        </w:rPr>
        <w:t xml:space="preserve"> </w:t>
      </w:r>
      <w:r w:rsidRPr="009B1AC9">
        <w:t>Услуги должны содержать следующие документы на государственном языке</w:t>
      </w:r>
      <w:r>
        <w:t>:</w:t>
      </w:r>
    </w:p>
    <w:p w14:paraId="210A264F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>Конституция, конституционные законы, кодексы, законы;</w:t>
      </w:r>
    </w:p>
    <w:p w14:paraId="1D6C6A76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>указы Президента, имеющие силу конституционного закона; указы Президента, имеющие силу закона; иные нормативные правовые указы Президента;</w:t>
      </w:r>
    </w:p>
    <w:p w14:paraId="633CE876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>нормативные постановления Правительства и распоряжения Премьер-министра;</w:t>
      </w:r>
    </w:p>
    <w:p w14:paraId="32AEEE87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>нормативные постановления Конституционного совета, Верховного суда и Центральной избирательной комиссии;</w:t>
      </w:r>
    </w:p>
    <w:p w14:paraId="7C018DF3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>ратифицированные и утвержденные постановлениями Правительства международные соглашения;</w:t>
      </w:r>
    </w:p>
    <w:p w14:paraId="62AFAC78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>нормативные правовые акты министерств, агентств, их ведомств и иных центральных государственных органов;</w:t>
      </w:r>
    </w:p>
    <w:p w14:paraId="087867EA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>основы регионального законодательства.</w:t>
      </w:r>
    </w:p>
    <w:p w14:paraId="0E373A34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 xml:space="preserve">5. </w:t>
      </w:r>
      <w:r w:rsidRPr="009B1AC9">
        <w:t>Услуги должны содержать нормативно - техническую документацию</w:t>
      </w:r>
      <w:r>
        <w:t xml:space="preserve"> и включать следующие нормативные и технические документы:</w:t>
      </w:r>
    </w:p>
    <w:p w14:paraId="77C08739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 xml:space="preserve">СТ РК, ГОСТы, СНиПы, СН РК, </w:t>
      </w:r>
      <w:proofErr w:type="spellStart"/>
      <w:r>
        <w:t>СНиРы</w:t>
      </w:r>
      <w:proofErr w:type="spellEnd"/>
      <w:r>
        <w:t>, РДС, ветеринарные, ветеринарно-санитарные нормы и правила, санитарные нормы, правила и гигиенические нормативы, нормы и правила пожарной безопасности, государственные классификаторы технико-экономической информации, тарифно-квалификационные справочники, стандарты оценки, образования, а также другая документация и акты, определяющие технические и организационно-экономические аспекты деятельности в конкретной отрасли, нормативные акты, содержащие технические и технологические нормы и стандарты.</w:t>
      </w:r>
    </w:p>
    <w:p w14:paraId="30108799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 xml:space="preserve">6. </w:t>
      </w:r>
      <w:r w:rsidRPr="009B1AC9">
        <w:t>Услуги долж</w:t>
      </w:r>
      <w:r>
        <w:t>н</w:t>
      </w:r>
      <w:r w:rsidRPr="009B1AC9">
        <w:t>ы соде</w:t>
      </w:r>
      <w:r>
        <w:t>р</w:t>
      </w:r>
      <w:r w:rsidRPr="009B1AC9">
        <w:t>жать следующие комментарии</w:t>
      </w:r>
      <w:r>
        <w:t>:</w:t>
      </w:r>
    </w:p>
    <w:p w14:paraId="052ED606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>комментарии известных специалистов к основополагающим документам, материалы конференций, аннотации к важнейшим документам, вопросы-ответы по юридическим, экономическим и социальным вопросам (неофициальные). А также электронные версии юридических печатных изданий, монографий и учебников по праву, аналитические материалы.</w:t>
      </w:r>
    </w:p>
    <w:p w14:paraId="70D544B2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 xml:space="preserve">7. </w:t>
      </w:r>
      <w:r w:rsidRPr="009B1AC9">
        <w:t>Услуги до</w:t>
      </w:r>
      <w:r>
        <w:t>лж</w:t>
      </w:r>
      <w:r w:rsidRPr="009B1AC9">
        <w:t>ны содержать следующую информацию о законопроектах</w:t>
      </w:r>
      <w:r>
        <w:t>:</w:t>
      </w:r>
    </w:p>
    <w:p w14:paraId="40B95A6C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>досье законопроектов и отдельных проектов, проекты нормативных правовых актов, пояснительные записки, заключения научной экспертизы к ним, сравнительные таблицы, акты парламента и его палат по прохождению законопроектов.</w:t>
      </w:r>
    </w:p>
    <w:p w14:paraId="21CEC185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 xml:space="preserve">8. </w:t>
      </w:r>
      <w:r w:rsidRPr="009B1AC9">
        <w:t>Услуги должны содержать официальные ответы и разъяснения государственных орган</w:t>
      </w:r>
      <w:r>
        <w:t>ов и организаций, которые включают следующее:</w:t>
      </w:r>
    </w:p>
    <w:p w14:paraId="13E2CE75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>ответы на вопросы и разъяснения норм законодательства, которые были опубликованы на блогах руководителей государственных органов и официальных сайтах центральных и местных органов власти, а также государственных организаций;</w:t>
      </w:r>
    </w:p>
    <w:p w14:paraId="7F170863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>ответы и разъяснения оформлены в виде документов с реквизитами, позволяющими при необходимости легко отыскать их оригинал в Интернете для того, чтобы сослаться на него в последующей официальной переписке, а также иной правоприменительной деятельности.</w:t>
      </w:r>
    </w:p>
    <w:p w14:paraId="31A9AC69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 xml:space="preserve">9. </w:t>
      </w:r>
      <w:r w:rsidRPr="009B1AC9">
        <w:t>Услуги должны содержать следующие образцы документов</w:t>
      </w:r>
      <w:r>
        <w:t>:</w:t>
      </w:r>
    </w:p>
    <w:p w14:paraId="55480818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 xml:space="preserve">примерные формы, образцы, шаблоны документов, используемых для ведения делопроизводства в организациях разных форм собственности и направлений деятельности, для оформления различных сделок и взаимоотношений между гражданами и организациями в соответствии с требованиями действующего казахстанского законодательства: учредительные документы, договоры, акты, соглашения, доверенности, образцы приказов, распоряжений, </w:t>
      </w:r>
      <w:proofErr w:type="spellStart"/>
      <w:r>
        <w:t>лжностные</w:t>
      </w:r>
      <w:proofErr w:type="spellEnd"/>
      <w:r>
        <w:t xml:space="preserve"> инструкции, заявления, декларации, приказы, протоколы, приказы, решения, заявления, иски, ходатайства.</w:t>
      </w:r>
    </w:p>
    <w:p w14:paraId="476B534A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</w:p>
    <w:p w14:paraId="7B671E2A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center"/>
        <w:rPr>
          <w:b/>
          <w:bCs/>
        </w:rPr>
      </w:pPr>
      <w:r w:rsidRPr="00946319">
        <w:rPr>
          <w:b/>
          <w:bCs/>
        </w:rPr>
        <w:lastRenderedPageBreak/>
        <w:t>2. Требования к Технической спецификации</w:t>
      </w:r>
    </w:p>
    <w:p w14:paraId="3DFD1AC2" w14:textId="77777777" w:rsidR="006559C8" w:rsidRPr="00946319" w:rsidRDefault="006559C8" w:rsidP="006559C8">
      <w:pPr>
        <w:pStyle w:val="20"/>
        <w:shd w:val="clear" w:color="auto" w:fill="auto"/>
        <w:spacing w:after="0" w:line="281" w:lineRule="exact"/>
        <w:ind w:firstLine="760"/>
        <w:jc w:val="center"/>
        <w:rPr>
          <w:b/>
          <w:bCs/>
        </w:rPr>
      </w:pPr>
    </w:p>
    <w:p w14:paraId="31F854BA" w14:textId="411ED935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  <w:r>
        <w:t xml:space="preserve">Техническая спецификация, предоставляемая Исполнителем в составе заявки на участие в конкурсе должна содержать информацию по порядку предоставления Заказчику услуг по информационно-правовому обеспечению Заказчика, указанную в пункте 1 настоящей Технической спецификации, а также расчет стоимости услуг согласно форме, указанной в Приложении 1 к Технической спецификации, исходя из </w:t>
      </w:r>
      <w:r w:rsidR="00CB0D70">
        <w:rPr>
          <w:lang w:val="kk-KZ"/>
        </w:rPr>
        <w:t>6</w:t>
      </w:r>
      <w:r>
        <w:t xml:space="preserve"> (</w:t>
      </w:r>
      <w:r w:rsidR="00CB0D70">
        <w:rPr>
          <w:lang w:val="kk-KZ"/>
        </w:rPr>
        <w:t>шести</w:t>
      </w:r>
      <w:r>
        <w:t xml:space="preserve">) локальных рабочих мест с паролем без привязки к конкретному </w:t>
      </w:r>
      <w:r w:rsidRPr="009B1AC9">
        <w:t>IP</w:t>
      </w:r>
      <w:r w:rsidRPr="00844B63">
        <w:t xml:space="preserve"> </w:t>
      </w:r>
      <w:r>
        <w:t>адресу.</w:t>
      </w:r>
    </w:p>
    <w:p w14:paraId="1ED72BA7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both"/>
      </w:pPr>
    </w:p>
    <w:p w14:paraId="3FB27578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760"/>
        <w:jc w:val="center"/>
        <w:rPr>
          <w:b/>
          <w:bCs/>
        </w:rPr>
      </w:pPr>
      <w:r w:rsidRPr="00946319">
        <w:rPr>
          <w:b/>
          <w:bCs/>
        </w:rPr>
        <w:t>3. Требовании к Исполнителю</w:t>
      </w:r>
    </w:p>
    <w:p w14:paraId="3C51413B" w14:textId="77777777" w:rsidR="006559C8" w:rsidRPr="00946319" w:rsidRDefault="006559C8" w:rsidP="006559C8">
      <w:pPr>
        <w:pStyle w:val="20"/>
        <w:shd w:val="clear" w:color="auto" w:fill="auto"/>
        <w:spacing w:after="0" w:line="281" w:lineRule="exact"/>
        <w:ind w:firstLine="760"/>
        <w:jc w:val="center"/>
        <w:rPr>
          <w:b/>
          <w:bCs/>
        </w:rPr>
      </w:pPr>
    </w:p>
    <w:p w14:paraId="14403699" w14:textId="77777777" w:rsidR="006559C8" w:rsidRDefault="006559C8" w:rsidP="006559C8">
      <w:pPr>
        <w:pStyle w:val="20"/>
        <w:numPr>
          <w:ilvl w:val="0"/>
          <w:numId w:val="2"/>
        </w:numPr>
        <w:shd w:val="clear" w:color="auto" w:fill="auto"/>
        <w:spacing w:after="0" w:line="281" w:lineRule="exact"/>
        <w:ind w:left="0" w:firstLine="567"/>
        <w:jc w:val="both"/>
      </w:pPr>
      <w:r>
        <w:t>наличие опыта не менее 5 (пять) лет в соответствующей сфере деятельности;</w:t>
      </w:r>
    </w:p>
    <w:p w14:paraId="7E7B4DF7" w14:textId="77777777" w:rsidR="006559C8" w:rsidRDefault="006559C8" w:rsidP="006559C8">
      <w:pPr>
        <w:pStyle w:val="20"/>
        <w:numPr>
          <w:ilvl w:val="0"/>
          <w:numId w:val="2"/>
        </w:numPr>
        <w:shd w:val="clear" w:color="auto" w:fill="auto"/>
        <w:spacing w:after="0" w:line="281" w:lineRule="exact"/>
        <w:ind w:left="0" w:firstLine="567"/>
        <w:jc w:val="both"/>
      </w:pPr>
      <w:r>
        <w:t>наличие свидетельства о государственной регистрации объекта интеллектуальной собственности.</w:t>
      </w:r>
    </w:p>
    <w:p w14:paraId="5B6AFA62" w14:textId="77777777" w:rsidR="006559C8" w:rsidRDefault="006559C8" w:rsidP="006559C8">
      <w:pPr>
        <w:pStyle w:val="20"/>
        <w:numPr>
          <w:ilvl w:val="0"/>
          <w:numId w:val="2"/>
        </w:numPr>
        <w:shd w:val="clear" w:color="auto" w:fill="auto"/>
        <w:spacing w:after="0" w:line="281" w:lineRule="exact"/>
        <w:ind w:left="0" w:firstLine="567"/>
        <w:jc w:val="both"/>
      </w:pPr>
      <w:r>
        <w:t>оказывать Услуги в порядке, указанном в технической спецификации.</w:t>
      </w:r>
    </w:p>
    <w:p w14:paraId="321472F8" w14:textId="77777777" w:rsidR="006559C8" w:rsidRDefault="006559C8" w:rsidP="006559C8">
      <w:pPr>
        <w:pStyle w:val="20"/>
        <w:shd w:val="clear" w:color="auto" w:fill="auto"/>
        <w:spacing w:after="0" w:line="281" w:lineRule="exact"/>
        <w:ind w:firstLine="567"/>
        <w:jc w:val="both"/>
      </w:pPr>
      <w:r>
        <w:t>Срок исполнения – 1 год с момента подписания договора.</w:t>
      </w:r>
    </w:p>
    <w:p w14:paraId="558B671D" w14:textId="0EB558CE" w:rsidR="006559C8" w:rsidRDefault="006559C8" w:rsidP="006559C8">
      <w:pPr>
        <w:pStyle w:val="20"/>
        <w:shd w:val="clear" w:color="auto" w:fill="auto"/>
        <w:spacing w:after="0" w:line="274" w:lineRule="exact"/>
        <w:ind w:firstLine="708"/>
        <w:jc w:val="left"/>
      </w:pPr>
      <w:r w:rsidRPr="002E0BE1">
        <w:rPr>
          <w:b/>
          <w:bCs/>
        </w:rPr>
        <w:t>Место</w:t>
      </w:r>
      <w:r>
        <w:t xml:space="preserve"> </w:t>
      </w:r>
      <w:r>
        <w:rPr>
          <w:rStyle w:val="21"/>
        </w:rPr>
        <w:t xml:space="preserve">оказании услуг: </w:t>
      </w:r>
      <w:r>
        <w:t>г. Нур-Султан</w:t>
      </w:r>
      <w:r w:rsidR="002C6F3E">
        <w:t>.</w:t>
      </w:r>
    </w:p>
    <w:p w14:paraId="5FFFA743" w14:textId="77777777" w:rsidR="006559C8" w:rsidRDefault="006559C8" w:rsidP="006559C8">
      <w:pPr>
        <w:pStyle w:val="50"/>
        <w:shd w:val="clear" w:color="auto" w:fill="auto"/>
        <w:spacing w:after="0" w:line="274" w:lineRule="exact"/>
        <w:ind w:firstLine="708"/>
        <w:rPr>
          <w:rStyle w:val="51"/>
        </w:rPr>
      </w:pPr>
      <w:r>
        <w:rPr>
          <w:noProof/>
        </w:rPr>
        <mc:AlternateContent>
          <mc:Choice Requires="wps">
            <w:drawing>
              <wp:anchor distT="2540" distB="298450" distL="3437890" distR="365760" simplePos="0" relativeHeight="251659264" behindDoc="1" locked="0" layoutInCell="1" allowOverlap="1" wp14:anchorId="5297A950" wp14:editId="1F4756A7">
                <wp:simplePos x="0" y="0"/>
                <wp:positionH relativeFrom="margin">
                  <wp:posOffset>3540760</wp:posOffset>
                </wp:positionH>
                <wp:positionV relativeFrom="paragraph">
                  <wp:posOffset>345440</wp:posOffset>
                </wp:positionV>
                <wp:extent cx="2747645" cy="139700"/>
                <wp:effectExtent l="2540" t="0" r="2540" b="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2F78D" w14:textId="77777777" w:rsidR="006559C8" w:rsidRDefault="006559C8" w:rsidP="006559C8">
                            <w:pPr>
                              <w:pStyle w:val="50"/>
                              <w:shd w:val="clear" w:color="auto" w:fill="auto"/>
                              <w:spacing w:after="0" w:line="220" w:lineRule="exact"/>
                              <w:ind w:left="4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7A9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8.8pt;margin-top:27.2pt;width:216.35pt;height:11pt;z-index:-251657216;visibility:visible;mso-wrap-style:square;mso-width-percent:0;mso-height-percent:0;mso-wrap-distance-left:270.7pt;mso-wrap-distance-top:.2pt;mso-wrap-distance-right:28.8pt;mso-wrap-distance-bottom:2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" filled="f" stroked="f">
                <v:textbox style="mso-fit-shape-to-text:t" inset="0,0,0,0">
                  <w:txbxContent>
                    <w:p w14:paraId="7422F78D" w14:textId="77777777" w:rsidR="006559C8" w:rsidRDefault="006559C8" w:rsidP="006559C8">
                      <w:pPr>
                        <w:pStyle w:val="50"/>
                        <w:shd w:val="clear" w:color="auto" w:fill="auto"/>
                        <w:spacing w:after="0" w:line="220" w:lineRule="exact"/>
                        <w:ind w:left="40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Сроки оказания услуг: </w:t>
      </w:r>
      <w:r w:rsidRPr="00086AFC">
        <w:rPr>
          <w:b w:val="0"/>
          <w:bCs w:val="0"/>
        </w:rPr>
        <w:t>1 год с момента подписания договора</w:t>
      </w:r>
      <w:r>
        <w:rPr>
          <w:rStyle w:val="51"/>
        </w:rPr>
        <w:t>.</w:t>
      </w:r>
    </w:p>
    <w:p w14:paraId="6DC0AC79" w14:textId="77777777" w:rsidR="006559C8" w:rsidRDefault="006559C8" w:rsidP="006559C8">
      <w:pPr>
        <w:pStyle w:val="50"/>
        <w:shd w:val="clear" w:color="auto" w:fill="auto"/>
        <w:spacing w:after="0" w:line="274" w:lineRule="exact"/>
        <w:rPr>
          <w:rStyle w:val="51"/>
        </w:rPr>
      </w:pPr>
      <w:r>
        <w:rPr>
          <w:rStyle w:val="51"/>
        </w:rPr>
        <w:t>ФИО руководителя ____________________________________________</w:t>
      </w:r>
    </w:p>
    <w:p w14:paraId="13A596D2" w14:textId="77777777" w:rsidR="006559C8" w:rsidRDefault="006559C8" w:rsidP="006559C8">
      <w:pPr>
        <w:pStyle w:val="50"/>
        <w:shd w:val="clear" w:color="auto" w:fill="auto"/>
        <w:spacing w:after="0" w:line="274" w:lineRule="exact"/>
      </w:pPr>
      <w:r>
        <w:rPr>
          <w:rStyle w:val="51"/>
        </w:rPr>
        <w:t xml:space="preserve">                                             (подпись)</w:t>
      </w:r>
    </w:p>
    <w:p w14:paraId="2188D0E1" w14:textId="77777777" w:rsidR="00AA430C" w:rsidRDefault="00000000"/>
    <w:sectPr w:rsidR="00AA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E47BB"/>
    <w:multiLevelType w:val="hybridMultilevel"/>
    <w:tmpl w:val="5EBA78AA"/>
    <w:lvl w:ilvl="0" w:tplc="17BE4E6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75366A2A"/>
    <w:multiLevelType w:val="hybridMultilevel"/>
    <w:tmpl w:val="57FA84EC"/>
    <w:lvl w:ilvl="0" w:tplc="5A8C036A">
      <w:start w:val="1"/>
      <w:numFmt w:val="decimal"/>
      <w:lvlText w:val="%1."/>
      <w:lvlJc w:val="left"/>
      <w:pPr>
        <w:ind w:left="4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40" w:hanging="360"/>
      </w:pPr>
    </w:lvl>
    <w:lvl w:ilvl="2" w:tplc="0419001B" w:tentative="1">
      <w:start w:val="1"/>
      <w:numFmt w:val="lowerRoman"/>
      <w:lvlText w:val="%3."/>
      <w:lvlJc w:val="right"/>
      <w:pPr>
        <w:ind w:left="5960" w:hanging="180"/>
      </w:pPr>
    </w:lvl>
    <w:lvl w:ilvl="3" w:tplc="0419000F" w:tentative="1">
      <w:start w:val="1"/>
      <w:numFmt w:val="decimal"/>
      <w:lvlText w:val="%4."/>
      <w:lvlJc w:val="left"/>
      <w:pPr>
        <w:ind w:left="6680" w:hanging="360"/>
      </w:pPr>
    </w:lvl>
    <w:lvl w:ilvl="4" w:tplc="04190019" w:tentative="1">
      <w:start w:val="1"/>
      <w:numFmt w:val="lowerLetter"/>
      <w:lvlText w:val="%5."/>
      <w:lvlJc w:val="left"/>
      <w:pPr>
        <w:ind w:left="7400" w:hanging="360"/>
      </w:pPr>
    </w:lvl>
    <w:lvl w:ilvl="5" w:tplc="0419001B" w:tentative="1">
      <w:start w:val="1"/>
      <w:numFmt w:val="lowerRoman"/>
      <w:lvlText w:val="%6."/>
      <w:lvlJc w:val="right"/>
      <w:pPr>
        <w:ind w:left="8120" w:hanging="180"/>
      </w:pPr>
    </w:lvl>
    <w:lvl w:ilvl="6" w:tplc="0419000F" w:tentative="1">
      <w:start w:val="1"/>
      <w:numFmt w:val="decimal"/>
      <w:lvlText w:val="%7."/>
      <w:lvlJc w:val="left"/>
      <w:pPr>
        <w:ind w:left="8840" w:hanging="360"/>
      </w:pPr>
    </w:lvl>
    <w:lvl w:ilvl="7" w:tplc="04190019" w:tentative="1">
      <w:start w:val="1"/>
      <w:numFmt w:val="lowerLetter"/>
      <w:lvlText w:val="%8."/>
      <w:lvlJc w:val="left"/>
      <w:pPr>
        <w:ind w:left="9560" w:hanging="360"/>
      </w:pPr>
    </w:lvl>
    <w:lvl w:ilvl="8" w:tplc="0419001B" w:tentative="1">
      <w:start w:val="1"/>
      <w:numFmt w:val="lowerRoman"/>
      <w:lvlText w:val="%9."/>
      <w:lvlJc w:val="right"/>
      <w:pPr>
        <w:ind w:left="10280" w:hanging="180"/>
      </w:pPr>
    </w:lvl>
  </w:abstractNum>
  <w:num w:numId="1" w16cid:durableId="606162708">
    <w:abstractNumId w:val="1"/>
  </w:num>
  <w:num w:numId="2" w16cid:durableId="93181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C8"/>
    <w:rsid w:val="002C6F3E"/>
    <w:rsid w:val="004E5DCC"/>
    <w:rsid w:val="006559C8"/>
    <w:rsid w:val="008F38C0"/>
    <w:rsid w:val="00CB0D70"/>
    <w:rsid w:val="00D1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5BC3"/>
  <w15:chartTrackingRefBased/>
  <w15:docId w15:val="{1CF605FB-6DB6-4FB0-9937-BB490654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59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559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559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6559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6559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559C8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559C8"/>
    <w:pPr>
      <w:widowControl w:val="0"/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559C8"/>
    <w:pPr>
      <w:widowControl w:val="0"/>
      <w:shd w:val="clear" w:color="auto" w:fill="FFFFFF"/>
      <w:spacing w:before="540" w:after="0" w:line="266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Bakhtiyar  Bakeyev</dc:creator>
  <cp:keywords/>
  <dc:description/>
  <cp:lastModifiedBy>Viktor Tsimmerman</cp:lastModifiedBy>
  <cp:revision>4</cp:revision>
  <dcterms:created xsi:type="dcterms:W3CDTF">2022-07-14T03:58:00Z</dcterms:created>
  <dcterms:modified xsi:type="dcterms:W3CDTF">2022-07-15T09:20:00Z</dcterms:modified>
</cp:coreProperties>
</file>